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C39972B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9A0F15">
        <w:rPr>
          <w:rFonts w:cs="Arial"/>
          <w:b/>
          <w:bCs/>
          <w:sz w:val="24"/>
        </w:rPr>
        <w:t>4</w:t>
      </w:r>
      <w:r w:rsidR="00B46C8B">
        <w:rPr>
          <w:rFonts w:cs="Arial"/>
          <w:b/>
          <w:bCs/>
          <w:sz w:val="24"/>
        </w:rPr>
        <w:t>-AH-e</w:t>
      </w:r>
      <w:r w:rsidRPr="00F8043E">
        <w:rPr>
          <w:rFonts w:cs="Arial"/>
          <w:b/>
          <w:bCs/>
          <w:sz w:val="24"/>
        </w:rPr>
        <w:tab/>
        <w:t>S2-2</w:t>
      </w:r>
      <w:r w:rsidR="00FD4B8A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AF1129">
        <w:rPr>
          <w:rFonts w:cs="Arial"/>
          <w:b/>
          <w:bCs/>
          <w:sz w:val="24"/>
        </w:rPr>
        <w:t>0216</w:t>
      </w:r>
    </w:p>
    <w:p w14:paraId="792F6588" w14:textId="551420C7" w:rsidR="00DE2466" w:rsidRPr="00676273" w:rsidRDefault="00B46C8B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E</w:t>
      </w:r>
      <w:r w:rsidR="00CC3F59">
        <w:rPr>
          <w:rFonts w:ascii="Arial" w:hAnsi="Arial" w:cs="Arial"/>
          <w:b/>
          <w:bCs/>
          <w:noProof/>
          <w:sz w:val="24"/>
          <w:szCs w:val="24"/>
        </w:rPr>
        <w:t xml:space="preserve">lectronic </w:t>
      </w:r>
      <w:r w:rsidR="00FD4B8A">
        <w:rPr>
          <w:rFonts w:ascii="Arial" w:hAnsi="Arial" w:cs="Arial"/>
          <w:b/>
          <w:bCs/>
          <w:noProof/>
          <w:sz w:val="24"/>
          <w:szCs w:val="24"/>
        </w:rPr>
        <w:t>M</w:t>
      </w:r>
      <w:r>
        <w:rPr>
          <w:rFonts w:ascii="Arial" w:hAnsi="Arial" w:cs="Arial"/>
          <w:b/>
          <w:bCs/>
          <w:noProof/>
          <w:sz w:val="24"/>
          <w:szCs w:val="24"/>
        </w:rPr>
        <w:t>eeting</w:t>
      </w:r>
      <w:r w:rsidR="009A0F15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>1</w:t>
      </w:r>
      <w:r w:rsidR="00FD4B8A">
        <w:rPr>
          <w:rFonts w:ascii="Arial" w:hAnsi="Arial" w:cs="Arial"/>
          <w:b/>
          <w:bCs/>
          <w:noProof/>
          <w:sz w:val="24"/>
          <w:szCs w:val="24"/>
        </w:rPr>
        <w:t>6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FD4B8A">
        <w:rPr>
          <w:rFonts w:ascii="Arial" w:hAnsi="Arial" w:cs="Arial"/>
          <w:b/>
          <w:bCs/>
          <w:noProof/>
          <w:sz w:val="24"/>
          <w:szCs w:val="24"/>
        </w:rPr>
        <w:t>20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FD4B8A"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FD4B8A">
        <w:rPr>
          <w:rFonts w:ascii="Arial" w:hAnsi="Arial" w:cs="Arial"/>
          <w:b/>
          <w:bCs/>
          <w:noProof/>
          <w:sz w:val="24"/>
          <w:szCs w:val="24"/>
        </w:rPr>
        <w:t>3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FD4B8A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FC63D35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9A0F15">
        <w:rPr>
          <w:rFonts w:ascii="Arial" w:hAnsi="Arial" w:cs="Arial"/>
          <w:b/>
        </w:rPr>
        <w:t xml:space="preserve">Reply LS on </w:t>
      </w:r>
      <w:r w:rsidR="009E70EB">
        <w:rPr>
          <w:rFonts w:ascii="Arial" w:hAnsi="Arial" w:cs="Arial"/>
          <w:b/>
        </w:rPr>
        <w:t>handling of the allowed PDU session status IE</w:t>
      </w:r>
      <w:r w:rsidR="00CC2506">
        <w:rPr>
          <w:rFonts w:ascii="Arial" w:hAnsi="Arial" w:cs="Arial"/>
          <w:b/>
        </w:rPr>
        <w:t xml:space="preserve"> in Non-allowed service area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FBD003D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C624BC">
        <w:rPr>
          <w:rFonts w:ascii="Arial" w:hAnsi="Arial" w:cs="Arial"/>
          <w:b/>
          <w:bCs/>
        </w:rPr>
        <w:t>S2-2</w:t>
      </w:r>
      <w:r w:rsidR="00AD5606">
        <w:rPr>
          <w:rFonts w:ascii="Arial" w:hAnsi="Arial" w:cs="Arial"/>
          <w:b/>
          <w:bCs/>
        </w:rPr>
        <w:t>30xxxx</w:t>
      </w:r>
      <w:r w:rsidR="00C624BC">
        <w:rPr>
          <w:rFonts w:ascii="Arial" w:hAnsi="Arial" w:cs="Arial"/>
          <w:b/>
          <w:bCs/>
        </w:rPr>
        <w:t>/</w:t>
      </w:r>
      <w:r w:rsidR="00AD5606">
        <w:rPr>
          <w:rFonts w:ascii="Arial" w:hAnsi="Arial" w:cs="Arial"/>
          <w:b/>
          <w:bCs/>
        </w:rPr>
        <w:t>C1</w:t>
      </w:r>
      <w:r w:rsidR="00C624BC">
        <w:rPr>
          <w:rFonts w:ascii="Arial" w:hAnsi="Arial" w:cs="Arial"/>
          <w:b/>
          <w:bCs/>
        </w:rPr>
        <w:t>-22</w:t>
      </w:r>
      <w:r w:rsidR="00AD5606">
        <w:rPr>
          <w:rFonts w:ascii="Arial" w:hAnsi="Arial" w:cs="Arial"/>
          <w:b/>
          <w:bCs/>
        </w:rPr>
        <w:t>7</w:t>
      </w:r>
      <w:r w:rsidR="00644639">
        <w:rPr>
          <w:rFonts w:ascii="Arial" w:hAnsi="Arial" w:cs="Arial"/>
          <w:b/>
          <w:bCs/>
        </w:rPr>
        <w:t>197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6CBBABF9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265F9D">
        <w:rPr>
          <w:rFonts w:ascii="Arial" w:hAnsi="Arial" w:cs="Arial"/>
          <w:b/>
          <w:bCs/>
          <w:lang w:val="en-US"/>
        </w:rPr>
        <w:t>8</w:t>
      </w:r>
    </w:p>
    <w:p w14:paraId="3FB604C8" w14:textId="53B6147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265F9D">
        <w:rPr>
          <w:noProof/>
        </w:rPr>
        <w:t>5GProtoc18</w:t>
      </w:r>
      <w:r w:rsidR="009D33AF">
        <w:rPr>
          <w:noProof/>
        </w:rPr>
        <w:t>, TEI1</w:t>
      </w:r>
      <w:r w:rsidR="00265F9D">
        <w:rPr>
          <w:noProof/>
        </w:rPr>
        <w:t>8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7CA565E2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65F9D">
        <w:rPr>
          <w:lang w:val="it-IT"/>
        </w:rPr>
        <w:t>CT1</w:t>
      </w:r>
    </w:p>
    <w:p w14:paraId="68EB792B" w14:textId="568A8D4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2743CCC5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BDF">
        <w:rPr>
          <w:rFonts w:ascii="Arial" w:hAnsi="Arial" w:cs="Arial"/>
          <w:bCs/>
        </w:rPr>
        <w:t xml:space="preserve">23.501 CR </w:t>
      </w:r>
      <w:r w:rsidR="00F2425A">
        <w:rPr>
          <w:rFonts w:ascii="Arial" w:hAnsi="Arial" w:cs="Arial"/>
          <w:bCs/>
        </w:rPr>
        <w:t>3846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4D2AF199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</w:t>
      </w:r>
      <w:r w:rsidR="00055DF4">
        <w:rPr>
          <w:rFonts w:ascii="Arial" w:hAnsi="Arial" w:cs="Arial"/>
        </w:rPr>
        <w:t>CT1</w:t>
      </w:r>
      <w:r w:rsidR="00880325">
        <w:rPr>
          <w:rFonts w:ascii="Arial" w:hAnsi="Arial" w:cs="Arial"/>
        </w:rPr>
        <w:t xml:space="preserve"> </w:t>
      </w:r>
      <w:r w:rsidR="00450844">
        <w:rPr>
          <w:rFonts w:ascii="Arial" w:hAnsi="Arial" w:cs="Arial"/>
        </w:rPr>
        <w:t xml:space="preserve">for the </w:t>
      </w:r>
      <w:r w:rsidR="00187856">
        <w:rPr>
          <w:rFonts w:ascii="Arial" w:hAnsi="Arial" w:cs="Arial"/>
        </w:rPr>
        <w:t xml:space="preserve">LS </w:t>
      </w:r>
      <w:r w:rsidR="008C3D75">
        <w:rPr>
          <w:rFonts w:ascii="Arial" w:hAnsi="Arial" w:cs="Arial"/>
        </w:rPr>
        <w:t>related to allowed PDU session status IE in Non-allowed</w:t>
      </w:r>
      <w:r w:rsidR="00D97DB3">
        <w:rPr>
          <w:rFonts w:ascii="Arial" w:hAnsi="Arial" w:cs="Arial"/>
        </w:rPr>
        <w:t xml:space="preserve"> </w:t>
      </w:r>
      <w:r w:rsidR="008C3D75">
        <w:rPr>
          <w:rFonts w:ascii="Arial" w:hAnsi="Arial" w:cs="Arial"/>
        </w:rPr>
        <w:t xml:space="preserve">service area </w:t>
      </w:r>
      <w:r w:rsidR="00D97DB3">
        <w:rPr>
          <w:rFonts w:ascii="Arial" w:hAnsi="Arial" w:cs="Arial"/>
        </w:rPr>
        <w:t>S2-2</w:t>
      </w:r>
      <w:r w:rsidR="008C3D75">
        <w:rPr>
          <w:rFonts w:ascii="Arial" w:hAnsi="Arial" w:cs="Arial"/>
        </w:rPr>
        <w:t>30xxxx</w:t>
      </w:r>
      <w:r w:rsidR="00D97DB3">
        <w:rPr>
          <w:rFonts w:ascii="Arial" w:hAnsi="Arial" w:cs="Arial"/>
        </w:rPr>
        <w:t>/</w:t>
      </w:r>
      <w:r w:rsidR="008C3D75">
        <w:rPr>
          <w:rFonts w:ascii="Arial" w:hAnsi="Arial" w:cs="Arial"/>
        </w:rPr>
        <w:t>C1</w:t>
      </w:r>
      <w:r w:rsidR="0028120E">
        <w:rPr>
          <w:rFonts w:ascii="Arial" w:hAnsi="Arial" w:cs="Arial"/>
        </w:rPr>
        <w:t>-2</w:t>
      </w:r>
      <w:r w:rsidR="008C3D75">
        <w:rPr>
          <w:rFonts w:ascii="Arial" w:hAnsi="Arial" w:cs="Arial"/>
        </w:rPr>
        <w:t>27197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33E8BFA6" w:rsidR="00FA3147" w:rsidRDefault="0028120E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the two issues raised in the </w:t>
      </w:r>
      <w:r w:rsidR="009E38F7">
        <w:rPr>
          <w:rFonts w:ascii="Arial" w:hAnsi="Arial"/>
        </w:rPr>
        <w:t xml:space="preserve">LS and provides the following </w:t>
      </w:r>
      <w:r w:rsidR="005C5F17">
        <w:rPr>
          <w:rFonts w:ascii="Arial" w:hAnsi="Arial"/>
        </w:rPr>
        <w:t>answers</w:t>
      </w:r>
      <w:r w:rsidR="00AD6289">
        <w:rPr>
          <w:rFonts w:ascii="Arial" w:hAnsi="Arial"/>
        </w:rPr>
        <w:t>:</w:t>
      </w:r>
    </w:p>
    <w:p w14:paraId="030D198D" w14:textId="77777777" w:rsidR="00AD6289" w:rsidRDefault="00AD6289" w:rsidP="008441A6">
      <w:pPr>
        <w:pStyle w:val="Header"/>
        <w:rPr>
          <w:rFonts w:ascii="Arial" w:hAnsi="Arial"/>
        </w:rPr>
      </w:pPr>
    </w:p>
    <w:p w14:paraId="677172C3" w14:textId="77777777" w:rsidR="002E7183" w:rsidRDefault="002E7183" w:rsidP="002E7183">
      <w:pPr>
        <w:ind w:left="360"/>
        <w:rPr>
          <w:rFonts w:ascii="Arial" w:hAnsi="Arial" w:cs="Arial"/>
        </w:rPr>
      </w:pPr>
      <w:r w:rsidRPr="00DE0F11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  <w:b/>
          <w:bCs/>
        </w:rPr>
        <w:t xml:space="preserve"> 1</w:t>
      </w:r>
      <w:r w:rsidRPr="00DE0F11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UE need to include the Allowed PDU session status IE also if it responds to the paging when it is in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area?</w:t>
      </w:r>
    </w:p>
    <w:p w14:paraId="30EF4BA0" w14:textId="77777777" w:rsidR="002E7183" w:rsidRDefault="002E7183" w:rsidP="00451BC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</w:pPr>
    </w:p>
    <w:p w14:paraId="528720BF" w14:textId="2BE70767" w:rsidR="00AD6289" w:rsidRDefault="00AD6289" w:rsidP="00451BC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SA2 Answer</w:t>
      </w:r>
      <w:r w:rsidR="00451BC9"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:</w:t>
      </w:r>
      <w:r w:rsidR="00451BC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9639E9">
        <w:rPr>
          <w:rFonts w:ascii="Arial" w:eastAsia="SimSun" w:hAnsi="Arial" w:cs="Arial"/>
          <w:iCs/>
          <w:color w:val="000000"/>
          <w:szCs w:val="22"/>
          <w:lang w:eastAsia="ko-KR"/>
        </w:rPr>
        <w:t>When UE is in non-allowed area, the principle in SA2 is that UE</w:t>
      </w:r>
      <w:r w:rsidR="000E2C6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is not allowed to initiate non</w:t>
      </w:r>
      <w:r w:rsidR="00751610">
        <w:rPr>
          <w:rFonts w:ascii="Arial" w:eastAsia="SimSun" w:hAnsi="Arial" w:cs="Arial"/>
          <w:iCs/>
          <w:color w:val="000000"/>
          <w:szCs w:val="22"/>
          <w:lang w:eastAsia="ko-KR"/>
        </w:rPr>
        <w:t>e</w:t>
      </w:r>
      <w:r w:rsidR="000E2C6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mobility related services</w:t>
      </w:r>
      <w:r w:rsidR="00D7389B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  <w:r w:rsidR="0075161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The intention of including “allowed PDU session status”</w:t>
      </w:r>
      <w:r w:rsidR="006E32E6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is to indicate PDU session can be moved to 3GPP access </w:t>
      </w:r>
      <w:r w:rsidR="00B040C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for </w:t>
      </w:r>
      <w:r w:rsidR="00C8686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data </w:t>
      </w:r>
      <w:r w:rsidR="00B040C0">
        <w:rPr>
          <w:rFonts w:ascii="Arial" w:eastAsia="SimSun" w:hAnsi="Arial" w:cs="Arial"/>
          <w:iCs/>
          <w:color w:val="000000"/>
          <w:szCs w:val="22"/>
          <w:lang w:eastAsia="ko-KR"/>
        </w:rPr>
        <w:t>delivery</w:t>
      </w:r>
      <w:r w:rsidR="005447BB">
        <w:rPr>
          <w:rFonts w:ascii="Arial" w:eastAsia="SimSun" w:hAnsi="Arial" w:cs="Arial"/>
          <w:iCs/>
          <w:color w:val="000000"/>
          <w:szCs w:val="22"/>
          <w:lang w:eastAsia="ko-KR"/>
        </w:rPr>
        <w:t>,</w:t>
      </w:r>
      <w:r w:rsidR="00B040C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C86863">
        <w:rPr>
          <w:rFonts w:ascii="Arial" w:eastAsia="SimSun" w:hAnsi="Arial" w:cs="Arial"/>
          <w:iCs/>
          <w:color w:val="000000"/>
          <w:szCs w:val="22"/>
          <w:lang w:eastAsia="ko-KR"/>
        </w:rPr>
        <w:t>which is not allowed in non-allowed area</w:t>
      </w:r>
      <w:r w:rsidR="002C2802">
        <w:rPr>
          <w:rFonts w:ascii="Arial" w:eastAsia="SimSun" w:hAnsi="Arial" w:cs="Arial"/>
          <w:iCs/>
          <w:color w:val="000000"/>
          <w:szCs w:val="22"/>
          <w:lang w:eastAsia="ko-KR"/>
        </w:rPr>
        <w:t>, thus it shall not be included</w:t>
      </w:r>
      <w:r w:rsidR="00C86863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p w14:paraId="59B19918" w14:textId="77777777" w:rsidR="006671B7" w:rsidRPr="00451BC9" w:rsidRDefault="006671B7" w:rsidP="00451BC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</w:p>
    <w:p w14:paraId="7C22231F" w14:textId="77777777" w:rsidR="00F662A4" w:rsidRDefault="00F662A4" w:rsidP="00F662A4">
      <w:pPr>
        <w:ind w:left="360"/>
        <w:rPr>
          <w:rFonts w:ascii="Arial" w:hAnsi="Arial" w:cs="Arial"/>
        </w:rPr>
      </w:pPr>
      <w:r w:rsidRPr="00F662A4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Is the UE allowed to include the </w:t>
      </w:r>
      <w:r w:rsidRPr="00122692">
        <w:rPr>
          <w:rFonts w:ascii="Arial" w:hAnsi="Arial" w:cs="Arial"/>
        </w:rPr>
        <w:t>Uplink data status IE</w:t>
      </w:r>
      <w:r>
        <w:rPr>
          <w:rFonts w:ascii="Arial" w:hAnsi="Arial" w:cs="Arial"/>
        </w:rPr>
        <w:t xml:space="preserve"> if it has uplink data pending if it responds to the paging when it is in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area?</w:t>
      </w:r>
    </w:p>
    <w:p w14:paraId="20AFD9B5" w14:textId="77777777" w:rsidR="00F662A4" w:rsidRDefault="00F662A4" w:rsidP="00764507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</w:pPr>
    </w:p>
    <w:p w14:paraId="529EFCEC" w14:textId="5C6BD8B1" w:rsidR="00AD6289" w:rsidRPr="00764507" w:rsidRDefault="006671B7" w:rsidP="00764507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SA2 Answer:</w:t>
      </w:r>
      <w:r w:rsidRPr="006671B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2C280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Same principle as in </w:t>
      </w:r>
      <w:r w:rsidR="00110F64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previous answer, the intention of the “Uplink data status” is to indicate </w:t>
      </w:r>
      <w:r w:rsidR="00D61B7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the need of UP setup </w:t>
      </w:r>
      <w:r w:rsidR="00296852">
        <w:rPr>
          <w:rFonts w:ascii="Arial" w:eastAsia="SimSun" w:hAnsi="Arial" w:cs="Arial"/>
          <w:iCs/>
          <w:color w:val="000000"/>
          <w:szCs w:val="22"/>
          <w:lang w:eastAsia="ko-KR"/>
        </w:rPr>
        <w:t>for</w:t>
      </w:r>
      <w:r w:rsidR="00D61B7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data </w:t>
      </w:r>
      <w:r w:rsidR="00B040C0">
        <w:rPr>
          <w:rFonts w:ascii="Arial" w:eastAsia="SimSun" w:hAnsi="Arial" w:cs="Arial"/>
          <w:iCs/>
          <w:color w:val="000000"/>
          <w:szCs w:val="22"/>
          <w:lang w:eastAsia="ko-KR"/>
        </w:rPr>
        <w:t>delivery</w:t>
      </w:r>
      <w:r w:rsidR="0029685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D61B79">
        <w:rPr>
          <w:rFonts w:ascii="Arial" w:eastAsia="SimSun" w:hAnsi="Arial" w:cs="Arial"/>
          <w:iCs/>
          <w:color w:val="000000"/>
          <w:szCs w:val="22"/>
          <w:lang w:eastAsia="ko-KR"/>
        </w:rPr>
        <w:t>which is not allowed in non-allowed area</w:t>
      </w:r>
      <w:r w:rsidR="00E57F34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1C235B4F" w:rsidR="004B3AD0" w:rsidRDefault="00AE758A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also agreed the attached the CR to clarify this </w:t>
      </w:r>
      <w:r w:rsidR="00134B6A">
        <w:rPr>
          <w:rFonts w:ascii="Arial" w:hAnsi="Arial"/>
        </w:rPr>
        <w:t>further in SA2.</w:t>
      </w:r>
    </w:p>
    <w:p w14:paraId="3012973B" w14:textId="77777777" w:rsidR="00AE758A" w:rsidRDefault="00AE758A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5A1E74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B14F9">
        <w:rPr>
          <w:rFonts w:ascii="Arial" w:hAnsi="Arial" w:cs="Arial"/>
          <w:b/>
        </w:rPr>
        <w:t>CT1</w:t>
      </w:r>
    </w:p>
    <w:p w14:paraId="342859A1" w14:textId="191CC1C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4B14F9">
        <w:rPr>
          <w:rFonts w:ascii="Arial" w:hAnsi="Arial" w:cs="Arial"/>
        </w:rPr>
        <w:t>CT1</w:t>
      </w:r>
      <w:r w:rsidR="00F83DF3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E57F34">
        <w:rPr>
          <w:rFonts w:ascii="Arial" w:hAnsi="Arial" w:cs="Arial"/>
        </w:rPr>
        <w:t>take above information into consideration</w:t>
      </w:r>
      <w:r w:rsidR="004B14F9">
        <w:rPr>
          <w:rFonts w:ascii="Arial" w:hAnsi="Arial" w:cs="Arial"/>
        </w:rPr>
        <w:t xml:space="preserve"> and updated its specifications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6DA90322" w14:textId="1A1FF3E8" w:rsidR="00A11F42" w:rsidRDefault="005C53A3" w:rsidP="004B14F9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 w:rsidR="004B14F9">
        <w:rPr>
          <w:rFonts w:ascii="Arial" w:hAnsi="Arial" w:cs="Arial"/>
          <w:sz w:val="22"/>
          <w:szCs w:val="22"/>
        </w:rPr>
        <w:t>Athens, GR</w:t>
      </w:r>
    </w:p>
    <w:p w14:paraId="6D5B2C79" w14:textId="77777777" w:rsidR="00CE3030" w:rsidRPr="00646F47" w:rsidRDefault="00CE3030" w:rsidP="00CE303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6F47">
        <w:rPr>
          <w:rFonts w:ascii="Arial" w:hAnsi="Arial" w:cs="Arial"/>
          <w:bCs/>
          <w:sz w:val="22"/>
          <w:szCs w:val="22"/>
        </w:rPr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  <w:t>TBD</w:t>
      </w:r>
    </w:p>
    <w:p w14:paraId="56DCBD68" w14:textId="77777777" w:rsidR="00CE3030" w:rsidRPr="00490B92" w:rsidRDefault="00CE3030" w:rsidP="004B14F9">
      <w:pPr>
        <w:rPr>
          <w:rFonts w:ascii="Arial" w:hAnsi="Arial" w:cs="Arial"/>
          <w:bCs/>
        </w:rPr>
      </w:pPr>
    </w:p>
    <w:sectPr w:rsidR="00CE3030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6FAA9" w14:textId="77777777" w:rsidR="004504B4" w:rsidRDefault="004504B4">
      <w:r>
        <w:separator/>
      </w:r>
    </w:p>
  </w:endnote>
  <w:endnote w:type="continuationSeparator" w:id="0">
    <w:p w14:paraId="25DD6B10" w14:textId="77777777" w:rsidR="004504B4" w:rsidRDefault="00450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082CC" w14:textId="77777777" w:rsidR="004504B4" w:rsidRDefault="004504B4">
      <w:r>
        <w:separator/>
      </w:r>
    </w:p>
  </w:footnote>
  <w:footnote w:type="continuationSeparator" w:id="0">
    <w:p w14:paraId="393A5138" w14:textId="77777777" w:rsidR="004504B4" w:rsidRDefault="00450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1270C8"/>
    <w:multiLevelType w:val="hybridMultilevel"/>
    <w:tmpl w:val="EA10FB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3"/>
  </w:num>
  <w:num w:numId="22">
    <w:abstractNumId w:val="19"/>
  </w:num>
  <w:num w:numId="23">
    <w:abstractNumId w:val="22"/>
  </w:num>
  <w:num w:numId="2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5DF4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157"/>
    <w:rsid w:val="000C5921"/>
    <w:rsid w:val="000C63C9"/>
    <w:rsid w:val="000D5226"/>
    <w:rsid w:val="000D6DE4"/>
    <w:rsid w:val="000E2C6A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F64"/>
    <w:rsid w:val="001118CA"/>
    <w:rsid w:val="00113372"/>
    <w:rsid w:val="00114DDA"/>
    <w:rsid w:val="001216D6"/>
    <w:rsid w:val="001304F6"/>
    <w:rsid w:val="00134B6A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87856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5F9D"/>
    <w:rsid w:val="002671AC"/>
    <w:rsid w:val="00271137"/>
    <w:rsid w:val="00271140"/>
    <w:rsid w:val="0028120E"/>
    <w:rsid w:val="00281CAD"/>
    <w:rsid w:val="002837E3"/>
    <w:rsid w:val="002851B8"/>
    <w:rsid w:val="00287E00"/>
    <w:rsid w:val="00296852"/>
    <w:rsid w:val="002A17D8"/>
    <w:rsid w:val="002A4691"/>
    <w:rsid w:val="002A4730"/>
    <w:rsid w:val="002B14BF"/>
    <w:rsid w:val="002B3F0F"/>
    <w:rsid w:val="002B654A"/>
    <w:rsid w:val="002C2802"/>
    <w:rsid w:val="002C7A25"/>
    <w:rsid w:val="002D348C"/>
    <w:rsid w:val="002D3F0F"/>
    <w:rsid w:val="002D5073"/>
    <w:rsid w:val="002D6F39"/>
    <w:rsid w:val="002E288E"/>
    <w:rsid w:val="002E41AC"/>
    <w:rsid w:val="002E7183"/>
    <w:rsid w:val="002F3EF7"/>
    <w:rsid w:val="002F7089"/>
    <w:rsid w:val="00300466"/>
    <w:rsid w:val="00304789"/>
    <w:rsid w:val="00306324"/>
    <w:rsid w:val="00312A5D"/>
    <w:rsid w:val="00313830"/>
    <w:rsid w:val="00315606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876DB"/>
    <w:rsid w:val="00390924"/>
    <w:rsid w:val="003918DE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16BB5"/>
    <w:rsid w:val="004171CE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4B4"/>
    <w:rsid w:val="00450844"/>
    <w:rsid w:val="004514D2"/>
    <w:rsid w:val="00451BC9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76EA8"/>
    <w:rsid w:val="00481E0A"/>
    <w:rsid w:val="00487821"/>
    <w:rsid w:val="004878CC"/>
    <w:rsid w:val="00490B92"/>
    <w:rsid w:val="004919A8"/>
    <w:rsid w:val="00491BDF"/>
    <w:rsid w:val="00492027"/>
    <w:rsid w:val="004923FD"/>
    <w:rsid w:val="0049402A"/>
    <w:rsid w:val="00495CE0"/>
    <w:rsid w:val="004A06AA"/>
    <w:rsid w:val="004A1004"/>
    <w:rsid w:val="004B14F9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447BB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67D7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B25FC"/>
    <w:rsid w:val="005B2FC8"/>
    <w:rsid w:val="005B3E14"/>
    <w:rsid w:val="005C0235"/>
    <w:rsid w:val="005C51F9"/>
    <w:rsid w:val="005C53A3"/>
    <w:rsid w:val="005C555C"/>
    <w:rsid w:val="005C5DD8"/>
    <w:rsid w:val="005C5F17"/>
    <w:rsid w:val="005C675E"/>
    <w:rsid w:val="005C6EC8"/>
    <w:rsid w:val="005D0AFD"/>
    <w:rsid w:val="005D54E0"/>
    <w:rsid w:val="005D666F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16D5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44639"/>
    <w:rsid w:val="0065075C"/>
    <w:rsid w:val="00651529"/>
    <w:rsid w:val="006521D6"/>
    <w:rsid w:val="00652A71"/>
    <w:rsid w:val="00652E23"/>
    <w:rsid w:val="006649EC"/>
    <w:rsid w:val="006671B7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2E6"/>
    <w:rsid w:val="006E3714"/>
    <w:rsid w:val="006E507F"/>
    <w:rsid w:val="006E5AEF"/>
    <w:rsid w:val="006E7915"/>
    <w:rsid w:val="006F24FA"/>
    <w:rsid w:val="006F3723"/>
    <w:rsid w:val="006F3D57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545C"/>
    <w:rsid w:val="00737818"/>
    <w:rsid w:val="00751610"/>
    <w:rsid w:val="007519BF"/>
    <w:rsid w:val="00752FAC"/>
    <w:rsid w:val="0075654B"/>
    <w:rsid w:val="00763BEF"/>
    <w:rsid w:val="00764507"/>
    <w:rsid w:val="00767F6C"/>
    <w:rsid w:val="0077283E"/>
    <w:rsid w:val="00782863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28D2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2306"/>
    <w:rsid w:val="0086349E"/>
    <w:rsid w:val="00864DD4"/>
    <w:rsid w:val="008662F0"/>
    <w:rsid w:val="00870C96"/>
    <w:rsid w:val="008739E6"/>
    <w:rsid w:val="00876568"/>
    <w:rsid w:val="008767BC"/>
    <w:rsid w:val="00877126"/>
    <w:rsid w:val="00880325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3D75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13D56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46C7"/>
    <w:rsid w:val="009639E9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0F15"/>
    <w:rsid w:val="009A1398"/>
    <w:rsid w:val="009A1C5C"/>
    <w:rsid w:val="009A3C7C"/>
    <w:rsid w:val="009A4952"/>
    <w:rsid w:val="009A6037"/>
    <w:rsid w:val="009A750F"/>
    <w:rsid w:val="009A78EE"/>
    <w:rsid w:val="009B1C1A"/>
    <w:rsid w:val="009B21BF"/>
    <w:rsid w:val="009B4650"/>
    <w:rsid w:val="009B63BB"/>
    <w:rsid w:val="009C2D37"/>
    <w:rsid w:val="009C3BF0"/>
    <w:rsid w:val="009C482B"/>
    <w:rsid w:val="009C4F87"/>
    <w:rsid w:val="009C744E"/>
    <w:rsid w:val="009D0631"/>
    <w:rsid w:val="009D2775"/>
    <w:rsid w:val="009D33AF"/>
    <w:rsid w:val="009E38F7"/>
    <w:rsid w:val="009E70EB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5606"/>
    <w:rsid w:val="00AD6289"/>
    <w:rsid w:val="00AD7F4F"/>
    <w:rsid w:val="00AE353A"/>
    <w:rsid w:val="00AE758A"/>
    <w:rsid w:val="00AF1129"/>
    <w:rsid w:val="00AF4759"/>
    <w:rsid w:val="00AF4EE6"/>
    <w:rsid w:val="00AF5EAB"/>
    <w:rsid w:val="00AF7CF8"/>
    <w:rsid w:val="00B01FFF"/>
    <w:rsid w:val="00B040C0"/>
    <w:rsid w:val="00B04E7F"/>
    <w:rsid w:val="00B061D5"/>
    <w:rsid w:val="00B06CE0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46C8B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24BC"/>
    <w:rsid w:val="00C64DE8"/>
    <w:rsid w:val="00C86863"/>
    <w:rsid w:val="00C87F67"/>
    <w:rsid w:val="00CA2C74"/>
    <w:rsid w:val="00CA5DBD"/>
    <w:rsid w:val="00CB3BB9"/>
    <w:rsid w:val="00CC0510"/>
    <w:rsid w:val="00CC06E5"/>
    <w:rsid w:val="00CC2506"/>
    <w:rsid w:val="00CC3F59"/>
    <w:rsid w:val="00CD0A6C"/>
    <w:rsid w:val="00CD1967"/>
    <w:rsid w:val="00CD4EFC"/>
    <w:rsid w:val="00CD56E4"/>
    <w:rsid w:val="00CD73B7"/>
    <w:rsid w:val="00CE3030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61B79"/>
    <w:rsid w:val="00D733A8"/>
    <w:rsid w:val="00D7389B"/>
    <w:rsid w:val="00D83DF3"/>
    <w:rsid w:val="00D91076"/>
    <w:rsid w:val="00D92A42"/>
    <w:rsid w:val="00D97DB3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57F34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B2D9D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1E38"/>
    <w:rsid w:val="00F12CF7"/>
    <w:rsid w:val="00F13461"/>
    <w:rsid w:val="00F166AB"/>
    <w:rsid w:val="00F16968"/>
    <w:rsid w:val="00F225C5"/>
    <w:rsid w:val="00F2425A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662A4"/>
    <w:rsid w:val="00F768EB"/>
    <w:rsid w:val="00F76CD6"/>
    <w:rsid w:val="00F76DE5"/>
    <w:rsid w:val="00F83DF3"/>
    <w:rsid w:val="00F906F0"/>
    <w:rsid w:val="00F97037"/>
    <w:rsid w:val="00F97D3C"/>
    <w:rsid w:val="00FA3147"/>
    <w:rsid w:val="00FA31F6"/>
    <w:rsid w:val="00FA72D3"/>
    <w:rsid w:val="00FB3302"/>
    <w:rsid w:val="00FB581B"/>
    <w:rsid w:val="00FB5CE3"/>
    <w:rsid w:val="00FB700C"/>
    <w:rsid w:val="00FC0ABE"/>
    <w:rsid w:val="00FC2D5A"/>
    <w:rsid w:val="00FC5696"/>
    <w:rsid w:val="00FC736E"/>
    <w:rsid w:val="00FD3EE3"/>
    <w:rsid w:val="00FD4B8A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314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136</cp:revision>
  <cp:lastPrinted>2002-04-23T07:10:00Z</cp:lastPrinted>
  <dcterms:created xsi:type="dcterms:W3CDTF">2022-05-18T15:28:00Z</dcterms:created>
  <dcterms:modified xsi:type="dcterms:W3CDTF">2023-01-09T13:50:00Z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